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2484A834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7BC20B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8C63A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7BC20B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8C63AA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65B0F">
        <w:rPr>
          <w:noProof/>
        </w:rPr>
        <w:t>Moving with force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83"/>
        <w:gridCol w:w="735"/>
        <w:gridCol w:w="1659"/>
        <w:gridCol w:w="1659"/>
        <w:gridCol w:w="3318"/>
      </w:tblGrid>
      <w:tr w:rsidR="00F80812" w14:paraId="1A65C0BC" w14:textId="77777777" w:rsidTr="009A1B9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188ECE71" w14:textId="53736A73" w:rsidR="00F80812" w:rsidRDefault="008C63AA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 w:rsidRPr="008C63AA">
              <w:rPr>
                <w:rFonts w:ascii="Arial" w:hAnsi="Arial" w:cs="Arial"/>
                <w:b/>
                <w:bCs/>
                <w:color w:val="477DBD" w:themeColor="accent1"/>
                <w:lang w:val="en-AU" w:eastAsia="en-GB"/>
              </w:rPr>
              <w:t xml:space="preserve">Does the mass of an object change the force required to move it? </w:t>
            </w: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1DCD1C50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555C42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009A1B98"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439" w14:textId="7BB8D2B6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</w:r>
          </w:p>
          <w:p w14:paraId="5A65D6B5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FEABC1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B3E8C22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992BCA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85AC4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D2E56E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31A" w14:textId="3F56F4EC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9A" w14:textId="28706D01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</w:tc>
      </w:tr>
      <w:tr w:rsidR="00510AFE" w14:paraId="3756D632" w14:textId="77777777" w:rsidTr="00794CFA"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E1D" w14:textId="6C0E5FC3" w:rsidR="00510AFE" w:rsidRPr="00FF6D1C" w:rsidRDefault="00510AFE" w:rsidP="00A21427">
            <w:pPr>
              <w:spacing w:before="240" w:after="0" w:line="48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is your investigable question?</w:t>
            </w:r>
            <w:r w:rsidR="00FF6D1C">
              <w:rPr>
                <w:rFonts w:ascii="Arial" w:hAnsi="Arial" w:cs="Arial"/>
                <w:bCs/>
                <w:lang w:eastAsia="en-GB"/>
              </w:rPr>
              <w:t xml:space="preserve"> What happens to __________________________________ when we change______________________________________?</w:t>
            </w:r>
          </w:p>
        </w:tc>
      </w:tr>
      <w:tr w:rsidR="00F80812" w14:paraId="6B920E70" w14:textId="77777777" w:rsidTr="009A1B98"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0212CC8D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Describe how you will set up your investigation</w:t>
            </w:r>
            <w:r w:rsidR="00555C42">
              <w:rPr>
                <w:rFonts w:ascii="Arial" w:hAnsi="Arial" w:cs="Arial"/>
                <w:b/>
                <w:lang w:eastAsia="en-GB"/>
              </w:rPr>
              <w:t>.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  <w:p w14:paraId="648459BC" w14:textId="7D7965DF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  <w:r w:rsidR="00555C42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05895F21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  <w:p w14:paraId="62E74CF8" w14:textId="77777777" w:rsidR="00863E85" w:rsidRDefault="00863E85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263DE0F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00555C42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</w:tbl>
    <w:p w14:paraId="24DAF351" w14:textId="4235AE36" w:rsidR="00F836F8" w:rsidRPr="00F836F8" w:rsidRDefault="00F836F8" w:rsidP="00F836F8">
      <w:pPr>
        <w:rPr>
          <w:b/>
          <w:bCs/>
          <w:szCs w:val="20"/>
          <w:lang w:val="en-US"/>
        </w:rPr>
      </w:pPr>
      <w:r w:rsidRPr="00F836F8">
        <w:rPr>
          <w:b/>
          <w:bCs/>
          <w:szCs w:val="20"/>
          <w:lang w:val="en-US"/>
        </w:rPr>
        <w:lastRenderedPageBreak/>
        <w:t>Recording results</w:t>
      </w:r>
    </w:p>
    <w:p w14:paraId="7EB532CE" w14:textId="77777777" w:rsidR="00F836F8" w:rsidRPr="00F836F8" w:rsidRDefault="00F836F8" w:rsidP="00F836F8">
      <w:pPr>
        <w:rPr>
          <w:bCs/>
          <w:szCs w:val="20"/>
          <w:lang w:val="en-US"/>
        </w:rPr>
      </w:pPr>
      <w:r w:rsidRPr="00F836F8">
        <w:rPr>
          <w:bCs/>
          <w:szCs w:val="20"/>
          <w:lang w:val="en-US"/>
        </w:rPr>
        <w:t>Record your results in a table.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77"/>
        <w:gridCol w:w="4878"/>
      </w:tblGrid>
      <w:tr w:rsidR="00595DFB" w:rsidRPr="00F836F8" w14:paraId="60A6918D" w14:textId="77777777" w:rsidTr="00595DFB">
        <w:trPr>
          <w:trHeight w:val="1303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F483" w14:textId="1E1EE357" w:rsidR="00595DFB" w:rsidRPr="00F836F8" w:rsidRDefault="00595DFB" w:rsidP="00F836F8">
            <w:pPr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Prediction/Object </w:t>
            </w:r>
            <w:r>
              <w:rPr>
                <w:b/>
                <w:bCs/>
                <w:szCs w:val="20"/>
              </w:rPr>
              <w:br/>
              <w:t>Write the list of objects you will test in order of which you think will need the least force to move and which you think will need the most.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2F9D2" w14:textId="6F1AFE2C" w:rsidR="00595DFB" w:rsidRPr="00F836F8" w:rsidRDefault="00595DFB" w:rsidP="00F836F8">
            <w:pPr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Force needed to lift the object off a surface (N)</w:t>
            </w:r>
          </w:p>
        </w:tc>
      </w:tr>
      <w:tr w:rsidR="00595DFB" w:rsidRPr="00F836F8" w14:paraId="7B0FE66A" w14:textId="77777777" w:rsidTr="00595DFB">
        <w:trPr>
          <w:trHeight w:val="34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CB20" w14:textId="37C2A62F" w:rsidR="00595DFB" w:rsidRPr="00F836F8" w:rsidRDefault="00595DFB" w:rsidP="00F836F8">
            <w:pPr>
              <w:rPr>
                <w:bCs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82F7" w14:textId="1193F9B7" w:rsidR="00595DFB" w:rsidRPr="00F836F8" w:rsidRDefault="00595DFB" w:rsidP="00F836F8">
            <w:pPr>
              <w:rPr>
                <w:bCs/>
                <w:szCs w:val="20"/>
              </w:rPr>
            </w:pPr>
          </w:p>
        </w:tc>
      </w:tr>
      <w:tr w:rsidR="00595DFB" w:rsidRPr="00F836F8" w14:paraId="21B5FC2E" w14:textId="77777777" w:rsidTr="00595DFB">
        <w:trPr>
          <w:trHeight w:val="359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28D" w14:textId="416E3C5B" w:rsidR="00595DFB" w:rsidRPr="00F836F8" w:rsidRDefault="00595DFB" w:rsidP="00F836F8">
            <w:pPr>
              <w:rPr>
                <w:bCs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8062" w14:textId="66A55B5A" w:rsidR="00595DFB" w:rsidRPr="00F836F8" w:rsidRDefault="00595DFB" w:rsidP="00F836F8">
            <w:pPr>
              <w:rPr>
                <w:bCs/>
                <w:szCs w:val="20"/>
              </w:rPr>
            </w:pPr>
          </w:p>
        </w:tc>
      </w:tr>
      <w:tr w:rsidR="00595DFB" w:rsidRPr="00F836F8" w14:paraId="027B3EEC" w14:textId="77777777" w:rsidTr="00595DFB">
        <w:trPr>
          <w:trHeight w:val="359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C9D" w14:textId="3D0E3C63" w:rsidR="00595DFB" w:rsidRPr="00F836F8" w:rsidRDefault="00595DFB" w:rsidP="00F836F8">
            <w:pPr>
              <w:rPr>
                <w:bCs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2CF3" w14:textId="6998CD6A" w:rsidR="00595DFB" w:rsidRPr="00F836F8" w:rsidRDefault="00595DFB" w:rsidP="00F836F8">
            <w:pPr>
              <w:rPr>
                <w:bCs/>
                <w:szCs w:val="20"/>
              </w:rPr>
            </w:pPr>
          </w:p>
        </w:tc>
      </w:tr>
      <w:tr w:rsidR="00595DFB" w:rsidRPr="00F836F8" w14:paraId="38A1FFF2" w14:textId="77777777" w:rsidTr="00595DFB">
        <w:trPr>
          <w:trHeight w:val="359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2A4" w14:textId="662F66D2" w:rsidR="00595DFB" w:rsidRPr="00F836F8" w:rsidRDefault="00595DFB" w:rsidP="00F836F8">
            <w:pPr>
              <w:rPr>
                <w:bCs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6C2E" w14:textId="409DD0D4" w:rsidR="00595DFB" w:rsidRPr="00F836F8" w:rsidRDefault="00595DFB" w:rsidP="00F836F8">
            <w:pPr>
              <w:rPr>
                <w:bCs/>
                <w:szCs w:val="20"/>
              </w:rPr>
            </w:pPr>
          </w:p>
        </w:tc>
      </w:tr>
      <w:tr w:rsidR="00595DFB" w:rsidRPr="00F836F8" w14:paraId="08C2D6F5" w14:textId="77777777" w:rsidTr="00595DFB">
        <w:trPr>
          <w:trHeight w:val="359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BB95" w14:textId="438883B8" w:rsidR="00595DFB" w:rsidRPr="00F836F8" w:rsidRDefault="00595DFB" w:rsidP="00F836F8">
            <w:pPr>
              <w:rPr>
                <w:bCs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26B6" w14:textId="7EE12A4B" w:rsidR="00595DFB" w:rsidRPr="00F836F8" w:rsidRDefault="00595DFB" w:rsidP="00F836F8">
            <w:pPr>
              <w:rPr>
                <w:bCs/>
                <w:szCs w:val="20"/>
              </w:rPr>
            </w:pPr>
          </w:p>
        </w:tc>
      </w:tr>
    </w:tbl>
    <w:p w14:paraId="7373E06F" w14:textId="77777777" w:rsidR="00F836F8" w:rsidRPr="00F836F8" w:rsidRDefault="00F836F8" w:rsidP="00F836F8">
      <w:pPr>
        <w:rPr>
          <w:bCs/>
          <w:szCs w:val="20"/>
          <w:lang w:val="en-US"/>
        </w:rPr>
      </w:pPr>
    </w:p>
    <w:p w14:paraId="3A10AA2C" w14:textId="115F9AC6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t>Explaining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4A8DF4A1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F9B" w14:textId="531A75D9" w:rsidR="00E81390" w:rsidRDefault="00914495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 xml:space="preserve">Did the result match your prediction? </w:t>
            </w:r>
            <w:r w:rsidR="00A21427">
              <w:rPr>
                <w:bCs/>
                <w:szCs w:val="20"/>
              </w:rPr>
              <w:t>Did the object</w:t>
            </w:r>
            <w:r w:rsidR="00150763">
              <w:rPr>
                <w:bCs/>
                <w:szCs w:val="20"/>
              </w:rPr>
              <w:t xml:space="preserve"> you think would need the least force move with less force? </w:t>
            </w:r>
            <w:r w:rsidRPr="00E81390">
              <w:rPr>
                <w:bCs/>
                <w:szCs w:val="20"/>
              </w:rPr>
              <w:t xml:space="preserve">Explain why and how </w:t>
            </w:r>
            <w:r w:rsidR="0087780F">
              <w:rPr>
                <w:bCs/>
                <w:szCs w:val="20"/>
              </w:rPr>
              <w:t>your predictions were the same of d</w:t>
            </w:r>
            <w:r w:rsidRPr="00E81390">
              <w:rPr>
                <w:bCs/>
                <w:szCs w:val="20"/>
              </w:rPr>
              <w:t>ifferent.</w:t>
            </w:r>
          </w:p>
          <w:p w14:paraId="4E19B7F4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54EC8039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4544031F" w14:textId="77777777" w:rsidR="001B059D" w:rsidRPr="00E81390" w:rsidRDefault="001B059D" w:rsidP="00E81390">
            <w:pPr>
              <w:rPr>
                <w:bCs/>
                <w:szCs w:val="20"/>
              </w:rPr>
            </w:pPr>
          </w:p>
          <w:p w14:paraId="6F062399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0B25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430C510B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7B91935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386" w14:textId="146A1951" w:rsidR="00E81390" w:rsidRPr="00E81390" w:rsidRDefault="0087780F" w:rsidP="00E8139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Draw a force arrow diagram showing what happened.</w:t>
            </w:r>
          </w:p>
          <w:p w14:paraId="3F5CA0D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F9441C8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36111693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07D42EAC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751DAB26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23583547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71F2A5E8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4BAC26A0" w14:textId="77777777" w:rsidR="001B059D" w:rsidRDefault="001B059D" w:rsidP="00E81390">
            <w:pPr>
              <w:rPr>
                <w:bCs/>
                <w:szCs w:val="20"/>
              </w:rPr>
            </w:pPr>
          </w:p>
          <w:p w14:paraId="56543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658CA002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55AC8D64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308E4F6" w14:textId="77777777" w:rsidR="00E81390" w:rsidRPr="00E81390" w:rsidRDefault="00E81390" w:rsidP="00E81390">
      <w:pPr>
        <w:rPr>
          <w:bCs/>
          <w:sz w:val="6"/>
          <w:szCs w:val="6"/>
          <w:lang w:val="en-US"/>
        </w:rPr>
      </w:pPr>
    </w:p>
    <w:p w14:paraId="3744A1FC" w14:textId="77777777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lastRenderedPageBreak/>
        <w:t>Evaluating the investigation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3EB70CA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AF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What challenges did you experience doing this investigation?</w:t>
            </w:r>
          </w:p>
          <w:p w14:paraId="2E97991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08DA03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B8585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71220BF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42332248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F6F246B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7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did you, or could you, overcome them?</w:t>
            </w:r>
          </w:p>
          <w:p w14:paraId="17314FA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9C9D152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702935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11D14984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1FE997B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2E8C7F5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941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could you improve this investigation? (fairness/accuracy)</w:t>
            </w:r>
          </w:p>
          <w:p w14:paraId="1B369A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18C54F5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482AAA1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7D4DE4EA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03D8C865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EEB32DD" w14:textId="77777777" w:rsidR="00E342DD" w:rsidRPr="001612D9" w:rsidRDefault="00E342DD" w:rsidP="000B73F9">
      <w:pPr>
        <w:rPr>
          <w:sz w:val="6"/>
          <w:szCs w:val="6"/>
        </w:rPr>
      </w:pPr>
    </w:p>
    <w:sectPr w:rsidR="00E342DD" w:rsidRPr="001612D9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AD74" w14:textId="77777777" w:rsidR="008761D5" w:rsidRDefault="008761D5" w:rsidP="00A21BF1">
      <w:pPr>
        <w:spacing w:line="240" w:lineRule="auto"/>
      </w:pPr>
      <w:r>
        <w:separator/>
      </w:r>
    </w:p>
  </w:endnote>
  <w:endnote w:type="continuationSeparator" w:id="0">
    <w:p w14:paraId="32ABD940" w14:textId="77777777" w:rsidR="008761D5" w:rsidRDefault="008761D5" w:rsidP="00A21BF1">
      <w:pPr>
        <w:spacing w:line="240" w:lineRule="auto"/>
      </w:pPr>
      <w:r>
        <w:continuationSeparator/>
      </w:r>
    </w:p>
  </w:endnote>
  <w:endnote w:type="continuationNotice" w:id="1">
    <w:p w14:paraId="5481C4A6" w14:textId="77777777" w:rsidR="008761D5" w:rsidRDefault="00876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5EFA" w14:textId="77777777" w:rsidR="008761D5" w:rsidRDefault="008761D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EB41BC9" w14:textId="77777777" w:rsidR="008761D5" w:rsidRDefault="008761D5" w:rsidP="00A21BF1">
      <w:pPr>
        <w:spacing w:line="240" w:lineRule="auto"/>
      </w:pPr>
      <w:r>
        <w:continuationSeparator/>
      </w:r>
    </w:p>
  </w:footnote>
  <w:footnote w:type="continuationNotice" w:id="1">
    <w:p w14:paraId="42D3E5FD" w14:textId="77777777" w:rsidR="008761D5" w:rsidRDefault="00876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5B15362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6D6DD2">
            <w:rPr>
              <w:b/>
              <w:bCs/>
              <w:noProof/>
              <w:sz w:val="22"/>
            </w:rPr>
            <w:t>Moving with force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5D0C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379D"/>
    <w:rsid w:val="001141AE"/>
    <w:rsid w:val="00114F36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763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59D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58FD"/>
    <w:rsid w:val="002564EB"/>
    <w:rsid w:val="00256BBA"/>
    <w:rsid w:val="002575EC"/>
    <w:rsid w:val="00257752"/>
    <w:rsid w:val="00260532"/>
    <w:rsid w:val="00260EAC"/>
    <w:rsid w:val="00263835"/>
    <w:rsid w:val="002647B5"/>
    <w:rsid w:val="00271046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543C"/>
    <w:rsid w:val="002A60C2"/>
    <w:rsid w:val="002A67C2"/>
    <w:rsid w:val="002B2B46"/>
    <w:rsid w:val="002B5953"/>
    <w:rsid w:val="002B6C97"/>
    <w:rsid w:val="002B6D36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7375"/>
    <w:rsid w:val="00391207"/>
    <w:rsid w:val="00392075"/>
    <w:rsid w:val="00392147"/>
    <w:rsid w:val="00396E48"/>
    <w:rsid w:val="003A18A6"/>
    <w:rsid w:val="003A20B1"/>
    <w:rsid w:val="003A3347"/>
    <w:rsid w:val="003B03D8"/>
    <w:rsid w:val="003B09A0"/>
    <w:rsid w:val="003B0E97"/>
    <w:rsid w:val="003B228F"/>
    <w:rsid w:val="003B69A4"/>
    <w:rsid w:val="003B7795"/>
    <w:rsid w:val="003C02F0"/>
    <w:rsid w:val="003C045B"/>
    <w:rsid w:val="003C0C76"/>
    <w:rsid w:val="003C1822"/>
    <w:rsid w:val="003C24D3"/>
    <w:rsid w:val="003C2BE8"/>
    <w:rsid w:val="003C5B66"/>
    <w:rsid w:val="003C607F"/>
    <w:rsid w:val="003C64F3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6B8"/>
    <w:rsid w:val="004009F6"/>
    <w:rsid w:val="004040B1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5B0F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D725A"/>
    <w:rsid w:val="004E0E02"/>
    <w:rsid w:val="004E150B"/>
    <w:rsid w:val="004E19B5"/>
    <w:rsid w:val="004E2D56"/>
    <w:rsid w:val="004E3295"/>
    <w:rsid w:val="004E33AE"/>
    <w:rsid w:val="004E3F49"/>
    <w:rsid w:val="004E40D1"/>
    <w:rsid w:val="004F6B2A"/>
    <w:rsid w:val="004F736A"/>
    <w:rsid w:val="00501EE1"/>
    <w:rsid w:val="00502BEE"/>
    <w:rsid w:val="0050359B"/>
    <w:rsid w:val="005078ED"/>
    <w:rsid w:val="00510AFE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55C42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5DFB"/>
    <w:rsid w:val="005A0EDD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4CCF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1B49"/>
    <w:rsid w:val="006D67EA"/>
    <w:rsid w:val="006D6DD2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3F11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3E85"/>
    <w:rsid w:val="00867136"/>
    <w:rsid w:val="00870D0C"/>
    <w:rsid w:val="00871D32"/>
    <w:rsid w:val="008761D5"/>
    <w:rsid w:val="0087780F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38A7"/>
    <w:rsid w:val="008C63AA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4495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1B98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427"/>
    <w:rsid w:val="00A21BF1"/>
    <w:rsid w:val="00A237EC"/>
    <w:rsid w:val="00A27975"/>
    <w:rsid w:val="00A3044F"/>
    <w:rsid w:val="00A30B2C"/>
    <w:rsid w:val="00A32B1B"/>
    <w:rsid w:val="00A33724"/>
    <w:rsid w:val="00A346C4"/>
    <w:rsid w:val="00A41112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301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58A2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974BF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378C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5864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62F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757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AASID-2102554853-2675105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https://ausacademyofscience.sharepoint.com/_layouts/15/DocIdRedir.aspx?ID=AASID-2102554853-2675105</Url>
      <Description>AASID-2102554853-2675105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F2906-2E3F-43E9-8A9B-4316FCA7D24E}"/>
</file>

<file path=customXml/itemProps3.xml><?xml version="1.0" encoding="utf-8"?>
<ds:datastoreItem xmlns:ds="http://schemas.openxmlformats.org/officeDocument/2006/customXml" ds:itemID="{6F74FDA8-AD52-4B48-9EEB-31490D0F9EB9}"/>
</file>

<file path=customXml/itemProps4.xml><?xml version="1.0" encoding="utf-8"?>
<ds:datastoreItem xmlns:ds="http://schemas.openxmlformats.org/officeDocument/2006/customXml" ds:itemID="{98A65271-421B-4353-9997-3A5AC2953514}"/>
</file>

<file path=customXml/itemProps5.xml><?xml version="1.0" encoding="utf-8"?>
<ds:datastoreItem xmlns:ds="http://schemas.openxmlformats.org/officeDocument/2006/customXml" ds:itemID="{33BA16B8-C182-48F8-9F8A-89CD9B32E4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2025-12-15T23:43:00Z</dcterms:created>
  <dcterms:modified xsi:type="dcterms:W3CDTF">2025-12-15T23:43:00Z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1faccb95-df58-40db-96be-72a1687dc50f</vt:lpwstr>
  </property>
</Properties>
</file>